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小标宋简体" w:cs="Times New Roman"/>
          <w:color w:val="auto"/>
          <w:kern w:val="0"/>
          <w:sz w:val="44"/>
          <w:szCs w:val="44"/>
        </w:rPr>
      </w:pPr>
    </w:p>
    <w:p>
      <w:pPr>
        <w:pStyle w:val="3"/>
        <w:rPr>
          <w:rFonts w:hint="default" w:ascii="Times New Roman" w:hAnsi="Times New Roman" w:eastAsia="方正小标宋简体" w:cs="Times New Roman"/>
          <w:color w:val="auto"/>
          <w:kern w:val="0"/>
          <w:sz w:val="44"/>
          <w:szCs w:val="44"/>
        </w:rPr>
      </w:pPr>
    </w:p>
    <w:p>
      <w:pPr>
        <w:rPr>
          <w:rFonts w:hint="default" w:ascii="Times New Roman" w:hAnsi="Times New Roman" w:cs="Times New Roman"/>
        </w:rPr>
      </w:pPr>
    </w:p>
    <w:p>
      <w:pPr>
        <w:pStyle w:val="3"/>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简体" w:cs="Times New Roman"/>
          <w:snapToGrid w:val="0"/>
          <w:sz w:val="52"/>
          <w:szCs w:val="52"/>
        </w:rPr>
      </w:pPr>
      <w:r>
        <w:rPr>
          <w:rFonts w:hint="eastAsia" w:ascii="Times New Roman" w:hAnsi="Times New Roman" w:eastAsia="方正小标宋简体" w:cs="Times New Roman"/>
          <w:snapToGrid w:val="0"/>
          <w:sz w:val="52"/>
          <w:szCs w:val="52"/>
          <w:lang w:val="en-US" w:eastAsia="zh-CN"/>
        </w:rPr>
        <w:t>2023</w:t>
      </w:r>
      <w:r>
        <w:rPr>
          <w:rFonts w:hint="eastAsia" w:ascii="Times New Roman" w:hAnsi="Times New Roman" w:eastAsia="方正小标宋简体" w:cs="Times New Roman"/>
          <w:snapToGrid w:val="0"/>
          <w:sz w:val="52"/>
          <w:szCs w:val="52"/>
          <w:lang w:eastAsia="zh-CN"/>
        </w:rPr>
        <w:t>年</w:t>
      </w:r>
      <w:r>
        <w:rPr>
          <w:rFonts w:hint="default" w:ascii="Times New Roman" w:hAnsi="Times New Roman" w:eastAsia="方正小标宋简体" w:cs="Times New Roman"/>
          <w:snapToGrid w:val="0"/>
          <w:sz w:val="52"/>
          <w:szCs w:val="52"/>
        </w:rPr>
        <w:t>自治区五星级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简体" w:cs="Times New Roman"/>
          <w:color w:val="auto"/>
          <w:spacing w:val="-12"/>
          <w:sz w:val="52"/>
          <w:szCs w:val="52"/>
        </w:rPr>
      </w:pPr>
      <w:r>
        <w:rPr>
          <w:rFonts w:hint="default" w:ascii="Times New Roman" w:hAnsi="Times New Roman" w:eastAsia="方正小标宋简体" w:cs="Times New Roman"/>
          <w:snapToGrid w:val="0"/>
          <w:sz w:val="52"/>
          <w:szCs w:val="52"/>
        </w:rPr>
        <w:t>现代特色农业示范区核验申报书</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p>
    <w:p>
      <w:pPr>
        <w:pStyle w:val="3"/>
        <w:rPr>
          <w:rFonts w:hint="default" w:ascii="Times New Roman" w:hAnsi="Times New Roman" w:eastAsia="仿宋_GB2312" w:cs="Times New Roman"/>
          <w:color w:val="auto"/>
          <w:spacing w:val="-12"/>
          <w:sz w:val="32"/>
          <w:szCs w:val="32"/>
        </w:rPr>
      </w:pPr>
    </w:p>
    <w:p>
      <w:pPr>
        <w:rPr>
          <w:rFonts w:hint="default"/>
        </w:rPr>
      </w:pPr>
    </w:p>
    <w:p>
      <w:pPr>
        <w:rPr>
          <w:rFonts w:hint="default" w:ascii="Times New Roman" w:hAnsi="Times New Roman" w:eastAsia="仿宋_GB2312" w:cs="Times New Roman"/>
          <w:color w:val="auto"/>
          <w:spacing w:val="-12"/>
          <w:sz w:val="32"/>
          <w:szCs w:val="32"/>
        </w:rPr>
      </w:pPr>
    </w:p>
    <w:p>
      <w:pPr>
        <w:pStyle w:val="2"/>
        <w:rPr>
          <w:rFonts w:hint="default" w:ascii="Times New Roman" w:hAnsi="Times New Roman" w:cs="Times New Roman"/>
        </w:rPr>
      </w:pPr>
    </w:p>
    <w:p>
      <w:pPr>
        <w:rPr>
          <w:rFonts w:hint="default" w:ascii="Times New Roman" w:hAnsi="Times New Roman" w:cs="Times New Roman"/>
        </w:rPr>
      </w:pP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before="156" w:beforeLines="50" w:line="600" w:lineRule="exact"/>
        <w:rPr>
          <w:rFonts w:hint="default" w:ascii="Times New Roman" w:hAnsi="Times New Roman" w:eastAsia="仿宋_GB2312" w:cs="Times New Roman"/>
          <w:color w:val="auto"/>
          <w:spacing w:val="-12"/>
          <w:sz w:val="32"/>
          <w:szCs w:val="32"/>
          <w:u w:val="single"/>
        </w:rPr>
      </w:pPr>
      <w:r>
        <w:rPr>
          <w:rFonts w:hint="default" w:ascii="Times New Roman" w:hAnsi="Times New Roman" w:eastAsia="仿宋_GB2312" w:cs="Times New Roman"/>
          <w:color w:val="auto"/>
          <w:spacing w:val="-12"/>
          <w:sz w:val="32"/>
          <w:szCs w:val="32"/>
        </w:rPr>
        <w:t xml:space="preserve">         </w:t>
      </w:r>
      <w:r>
        <w:rPr>
          <w:rFonts w:hint="default" w:ascii="Times New Roman" w:hAnsi="Times New Roman" w:eastAsia="仿宋_GB2312" w:cs="Times New Roman"/>
          <w:color w:val="auto"/>
          <w:spacing w:val="-2"/>
          <w:kern w:val="10"/>
          <w:sz w:val="32"/>
          <w:szCs w:val="32"/>
        </w:rPr>
        <w:t>示范区名称</w:t>
      </w:r>
      <w:r>
        <w:rPr>
          <w:rFonts w:hint="default" w:ascii="Times New Roman" w:hAnsi="Times New Roman" w:eastAsia="仿宋_GB2312" w:cs="Times New Roman"/>
          <w:color w:val="auto"/>
          <w:spacing w:val="-12"/>
          <w:sz w:val="32"/>
          <w:szCs w:val="32"/>
        </w:rPr>
        <w:t>：</w:t>
      </w:r>
      <w:r>
        <w:rPr>
          <w:rFonts w:hint="default" w:ascii="Times New Roman" w:hAnsi="Times New Roman" w:eastAsia="仿宋_GB2312" w:cs="Times New Roman"/>
          <w:color w:val="auto"/>
          <w:spacing w:val="-12"/>
          <w:sz w:val="32"/>
          <w:szCs w:val="32"/>
          <w:u w:val="single"/>
        </w:rPr>
        <w:t xml:space="preserve">                                      </w:t>
      </w:r>
    </w:p>
    <w:p>
      <w:pPr>
        <w:spacing w:before="156" w:beforeLines="50" w:line="600" w:lineRule="exact"/>
        <w:rPr>
          <w:rFonts w:hint="default" w:ascii="Times New Roman" w:hAnsi="Times New Roman" w:eastAsia="仿宋_GB2312" w:cs="Times New Roman"/>
          <w:color w:val="auto"/>
          <w:spacing w:val="-12"/>
          <w:sz w:val="32"/>
          <w:szCs w:val="32"/>
          <w:u w:val="single"/>
        </w:rPr>
      </w:pPr>
      <w:r>
        <w:rPr>
          <w:rFonts w:hint="default" w:ascii="Times New Roman" w:hAnsi="Times New Roman" w:eastAsia="仿宋_GB2312" w:cs="Times New Roman"/>
          <w:color w:val="auto"/>
          <w:spacing w:val="-12"/>
          <w:sz w:val="32"/>
          <w:szCs w:val="32"/>
        </w:rPr>
        <w:t xml:space="preserve">         </w:t>
      </w:r>
      <w:r>
        <w:rPr>
          <w:rFonts w:hint="default" w:ascii="Times New Roman" w:hAnsi="Times New Roman" w:eastAsia="仿宋_GB2312" w:cs="Times New Roman"/>
          <w:color w:val="auto"/>
          <w:spacing w:val="28"/>
          <w:kern w:val="16"/>
          <w:sz w:val="32"/>
          <w:szCs w:val="32"/>
        </w:rPr>
        <w:t>申报单位</w:t>
      </w:r>
      <w:r>
        <w:rPr>
          <w:rFonts w:hint="default" w:ascii="Times New Roman" w:hAnsi="Times New Roman" w:eastAsia="仿宋_GB2312" w:cs="Times New Roman"/>
          <w:color w:val="auto"/>
          <w:spacing w:val="-12"/>
          <w:sz w:val="32"/>
          <w:szCs w:val="32"/>
        </w:rPr>
        <w:t>：</w:t>
      </w:r>
      <w:r>
        <w:rPr>
          <w:rFonts w:hint="default" w:ascii="Times New Roman" w:hAnsi="Times New Roman" w:eastAsia="仿宋_GB2312" w:cs="Times New Roman"/>
          <w:color w:val="auto"/>
          <w:spacing w:val="-12"/>
          <w:sz w:val="32"/>
          <w:szCs w:val="32"/>
          <w:u w:val="single"/>
        </w:rPr>
        <w:t xml:space="preserve">                              （盖章）</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仿宋_GB2312" w:cs="Times New Roman"/>
          <w:color w:val="auto"/>
          <w:spacing w:val="-12"/>
          <w:sz w:val="32"/>
          <w:szCs w:val="32"/>
        </w:rPr>
        <w:t>填表日期        年     月</w:t>
      </w:r>
      <w:r>
        <w:rPr>
          <w:rFonts w:hint="default" w:ascii="Times New Roman" w:hAnsi="Times New Roman" w:eastAsia="方正小标宋简体" w:cs="Times New Roman"/>
          <w:color w:val="auto"/>
          <w:kern w:val="0"/>
          <w:sz w:val="44"/>
          <w:szCs w:val="44"/>
        </w:rPr>
        <w:t xml:space="preserve"> </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自治区五星级现代特色农业示范区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核验申报表</w:t>
      </w:r>
    </w:p>
    <w:p>
      <w:pPr>
        <w:pStyle w:val="2"/>
        <w:rPr>
          <w:rFonts w:hint="default"/>
          <w:lang w:eastAsia="zh-CN"/>
        </w:rPr>
      </w:pPr>
    </w:p>
    <w:tbl>
      <w:tblPr>
        <w:tblStyle w:val="9"/>
        <w:tblpPr w:leftFromText="180" w:rightFromText="180" w:vertAnchor="text" w:horzAnchor="page" w:tblpX="1237" w:tblpY="289"/>
        <w:tblOverlap w:val="never"/>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70"/>
        <w:gridCol w:w="1260"/>
        <w:gridCol w:w="3750"/>
        <w:gridCol w:w="620"/>
        <w:gridCol w:w="1000"/>
        <w:gridCol w:w="99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2" w:hRule="atLeast"/>
        </w:trPr>
        <w:tc>
          <w:tcPr>
            <w:tcW w:w="2530" w:type="dxa"/>
            <w:gridSpan w:val="2"/>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sz w:val="24"/>
                <w:szCs w:val="24"/>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指  标</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sz w:val="24"/>
                <w:szCs w:val="24"/>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标 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sz w:val="24"/>
                <w:szCs w:val="24"/>
                <w:highlight w:val="none"/>
                <w:u w:val="none"/>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分值</w:t>
            </w:r>
          </w:p>
        </w:tc>
        <w:tc>
          <w:tcPr>
            <w:tcW w:w="100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具体完成情况</w:t>
            </w:r>
          </w:p>
        </w:tc>
        <w:tc>
          <w:tcPr>
            <w:tcW w:w="99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市级自评得分</w:t>
            </w:r>
          </w:p>
        </w:tc>
        <w:tc>
          <w:tcPr>
            <w:tcW w:w="85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核验</w:t>
            </w:r>
            <w:r>
              <w:rPr>
                <w:rFonts w:hint="default" w:ascii="Times New Roman" w:hAnsi="Times New Roman" w:eastAsia="仿宋_GB2312" w:cs="Times New Roman"/>
                <w:b/>
                <w:bCs/>
                <w:color w:val="auto"/>
                <w:kern w:val="0"/>
                <w:sz w:val="24"/>
                <w:szCs w:val="24"/>
                <w:lang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trPr>
        <w:tc>
          <w:tcPr>
            <w:tcW w:w="1270" w:type="dxa"/>
            <w:vMerge w:val="restart"/>
            <w:tcBorders>
              <w:tl2br w:val="nil"/>
              <w:tr2bl w:val="nil"/>
            </w:tcBorders>
            <w:shd w:val="clear" w:color="auto" w:fill="auto"/>
            <w:vAlign w:val="center"/>
          </w:tcPr>
          <w:p>
            <w:pPr>
              <w:keepNext w:val="0"/>
              <w:keepLines w:val="0"/>
              <w:widowControl/>
              <w:numPr>
                <w:ilvl w:val="0"/>
                <w:numId w:val="0"/>
              </w:numPr>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4"/>
                <w:szCs w:val="24"/>
                <w:highlight w:val="none"/>
                <w:u w:val="none"/>
                <w:lang w:val="en-US" w:eastAsia="zh-CN" w:bidi="ar"/>
              </w:rPr>
              <w:t>一、</w:t>
            </w:r>
            <w:r>
              <w:rPr>
                <w:rFonts w:hint="default" w:ascii="Times New Roman" w:hAnsi="Times New Roman" w:eastAsia="仿宋_GB2312" w:cs="Times New Roman"/>
                <w:i w:val="0"/>
                <w:iCs w:val="0"/>
                <w:color w:val="auto"/>
                <w:kern w:val="0"/>
                <w:sz w:val="24"/>
                <w:szCs w:val="24"/>
                <w:highlight w:val="none"/>
                <w:u w:val="none"/>
                <w:lang w:val="en-US" w:eastAsia="zh-CN" w:bidi="ar"/>
              </w:rPr>
              <w:t>产业带动能力（30分）</w:t>
            </w: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1.2022年主导产业规模</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比2021年</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0—3%，得2分；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3%—5%（含3%），得4分；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5%及以上，得6分。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2.2022年主导产业销售收入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比2021年</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0—3%，得2分；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3%—5%（含3%），得4分；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5%及以上，得6分。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3.财政投入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示范区获五星级认定以来，新增</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50万—100万元（含50万元），得2分；新增</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100万—300万元（含100万元），得4分；新增</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300万元及以上，得6分。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26"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4.2022年经营主体投入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比2021年</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0—3%，得2分；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3%—5%（含3%），得4分；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5%及以上，得6分。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6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5.2022年经营收入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比2021年</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0—3%，得2分；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3%—5%（含3%），得4分；</w:t>
            </w:r>
            <w:r>
              <w:rPr>
                <w:rFonts w:hint="eastAsia" w:ascii="Times New Roman" w:hAnsi="Times New Roman" w:eastAsia="仿宋_GB2312" w:cs="Times New Roman"/>
                <w:i w:val="0"/>
                <w:iCs w:val="0"/>
                <w:color w:val="auto"/>
                <w:kern w:val="0"/>
                <w:sz w:val="24"/>
                <w:szCs w:val="24"/>
                <w:highlight w:val="none"/>
                <w:u w:val="none"/>
                <w:lang w:val="en-US" w:eastAsia="zh-CN" w:bidi="ar"/>
              </w:rPr>
              <w:t>增长</w:t>
            </w:r>
            <w:r>
              <w:rPr>
                <w:rFonts w:hint="default" w:ascii="Times New Roman" w:hAnsi="Times New Roman" w:eastAsia="仿宋_GB2312" w:cs="Times New Roman"/>
                <w:i w:val="0"/>
                <w:iCs w:val="0"/>
                <w:color w:val="auto"/>
                <w:kern w:val="0"/>
                <w:sz w:val="24"/>
                <w:szCs w:val="24"/>
                <w:highlight w:val="none"/>
                <w:u w:val="none"/>
                <w:lang w:val="en-US" w:eastAsia="zh-CN" w:bidi="ar"/>
              </w:rPr>
              <w:t>5%及以上，得6分。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0" w:hRule="atLeast"/>
        </w:trPr>
        <w:tc>
          <w:tcPr>
            <w:tcW w:w="1270" w:type="dxa"/>
            <w:vMerge w:val="restart"/>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二、联农带农能力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eastAsia="仿宋_GB2312" w:cs="Times New Roman"/>
                <w:i w:val="0"/>
                <w:iCs w:val="0"/>
                <w:color w:val="auto"/>
                <w:kern w:val="0"/>
                <w:sz w:val="24"/>
                <w:szCs w:val="24"/>
                <w:highlight w:val="none"/>
                <w:u w:val="none"/>
                <w:lang w:val="en-US" w:eastAsia="zh-CN" w:bidi="ar"/>
              </w:rPr>
              <w:t>24</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6.新型农业经营主体</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示范区获五星级认定以来，新增1家以上农民合作社</w:t>
            </w:r>
            <w:r>
              <w:rPr>
                <w:rFonts w:hint="eastAsia" w:eastAsia="仿宋_GB2312" w:cs="Times New Roman"/>
                <w:i w:val="0"/>
                <w:iCs w:val="0"/>
                <w:color w:val="auto"/>
                <w:kern w:val="0"/>
                <w:sz w:val="24"/>
                <w:szCs w:val="24"/>
                <w:highlight w:val="none"/>
                <w:u w:val="none"/>
                <w:lang w:val="en-US" w:eastAsia="zh-CN" w:bidi="ar"/>
              </w:rPr>
              <w:t>或</w:t>
            </w:r>
            <w:r>
              <w:rPr>
                <w:rFonts w:hint="default" w:ascii="Times New Roman" w:hAnsi="Times New Roman" w:eastAsia="仿宋_GB2312" w:cs="Times New Roman"/>
                <w:i w:val="0"/>
                <w:iCs w:val="0"/>
                <w:color w:val="auto"/>
                <w:kern w:val="0"/>
                <w:sz w:val="24"/>
                <w:szCs w:val="24"/>
                <w:highlight w:val="none"/>
                <w:u w:val="none"/>
                <w:lang w:val="en-US" w:eastAsia="zh-CN" w:bidi="ar"/>
              </w:rPr>
              <w:t>家庭农场，得2分；新增2家以上涉农企业，得3分；新增</w:t>
            </w:r>
            <w:r>
              <w:rPr>
                <w:rFonts w:hint="eastAsia" w:ascii="Times New Roman" w:hAnsi="Times New Roman" w:eastAsia="仿宋_GB2312" w:cs="Times New Roman"/>
                <w:i w:val="0"/>
                <w:iCs w:val="0"/>
                <w:color w:val="auto"/>
                <w:kern w:val="0"/>
                <w:sz w:val="24"/>
                <w:szCs w:val="24"/>
                <w:highlight w:val="none"/>
                <w:u w:val="none"/>
                <w:lang w:val="en-US" w:eastAsia="zh-CN" w:bidi="ar"/>
              </w:rPr>
              <w:t>自治区级</w:t>
            </w:r>
            <w:r>
              <w:rPr>
                <w:rFonts w:hint="default" w:ascii="Times New Roman" w:hAnsi="Times New Roman" w:eastAsia="仿宋_GB2312" w:cs="Times New Roman"/>
                <w:i w:val="0"/>
                <w:iCs w:val="0"/>
                <w:color w:val="auto"/>
                <w:kern w:val="0"/>
                <w:sz w:val="24"/>
                <w:szCs w:val="24"/>
                <w:highlight w:val="none"/>
                <w:u w:val="none"/>
                <w:lang w:val="en-US" w:eastAsia="zh-CN" w:bidi="ar"/>
              </w:rPr>
              <w:t>农业产业化联合体</w:t>
            </w:r>
            <w:r>
              <w:rPr>
                <w:rFonts w:hint="eastAsia" w:ascii="Times New Roman" w:hAnsi="Times New Roman" w:eastAsia="仿宋_GB2312" w:cs="Times New Roman"/>
                <w:i w:val="0"/>
                <w:iCs w:val="0"/>
                <w:color w:val="auto"/>
                <w:kern w:val="0"/>
                <w:sz w:val="24"/>
                <w:szCs w:val="24"/>
                <w:highlight w:val="none"/>
                <w:u w:val="none"/>
                <w:lang w:val="en-US" w:eastAsia="zh-CN" w:bidi="ar"/>
              </w:rPr>
              <w:t>或</w:t>
            </w:r>
            <w:r>
              <w:rPr>
                <w:rFonts w:hint="default" w:ascii="Times New Roman" w:hAnsi="Times New Roman" w:eastAsia="仿宋_GB2312" w:cs="Times New Roman"/>
                <w:i w:val="0"/>
                <w:iCs w:val="0"/>
                <w:color w:val="auto"/>
                <w:kern w:val="0"/>
                <w:sz w:val="24"/>
                <w:szCs w:val="24"/>
                <w:highlight w:val="none"/>
                <w:u w:val="none"/>
                <w:lang w:val="en-US" w:eastAsia="zh-CN" w:bidi="ar"/>
              </w:rPr>
              <w:t>涉农龙头企业，得4分；新增国家级涉农龙头企业，得6分。累计最高6分。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7.带动周边农民发展产业人数</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示范区获五星级认定以来，新带动50人—100人（含50人），得2分；新带动100人—200人（含100人），得</w:t>
            </w:r>
            <w:r>
              <w:rPr>
                <w:rFonts w:hint="eastAsia" w:eastAsia="仿宋_GB2312" w:cs="Times New Roman"/>
                <w:i w:val="0"/>
                <w:iCs w:val="0"/>
                <w:color w:val="auto"/>
                <w:kern w:val="0"/>
                <w:sz w:val="24"/>
                <w:szCs w:val="24"/>
                <w:highlight w:val="none"/>
                <w:u w:val="none"/>
                <w:lang w:val="en-US" w:eastAsia="zh-CN" w:bidi="ar"/>
              </w:rPr>
              <w:t>4</w:t>
            </w:r>
            <w:r>
              <w:rPr>
                <w:rFonts w:hint="default" w:ascii="Times New Roman" w:hAnsi="Times New Roman" w:eastAsia="仿宋_GB2312" w:cs="Times New Roman"/>
                <w:i w:val="0"/>
                <w:iCs w:val="0"/>
                <w:color w:val="auto"/>
                <w:kern w:val="0"/>
                <w:sz w:val="24"/>
                <w:szCs w:val="24"/>
                <w:highlight w:val="none"/>
                <w:u w:val="none"/>
                <w:lang w:val="en-US" w:eastAsia="zh-CN" w:bidi="ar"/>
              </w:rPr>
              <w:t>分；新带动200人及以上，得</w:t>
            </w:r>
            <w:r>
              <w:rPr>
                <w:rFonts w:hint="eastAsia" w:eastAsia="仿宋_GB2312" w:cs="Times New Roman"/>
                <w:i w:val="0"/>
                <w:iCs w:val="0"/>
                <w:color w:val="auto"/>
                <w:kern w:val="0"/>
                <w:sz w:val="24"/>
                <w:szCs w:val="24"/>
                <w:highlight w:val="none"/>
                <w:u w:val="none"/>
                <w:lang w:val="en-US" w:eastAsia="zh-CN" w:bidi="ar"/>
              </w:rPr>
              <w:t>6</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0" w:hRule="atLeast"/>
        </w:trPr>
        <w:tc>
          <w:tcPr>
            <w:tcW w:w="2530" w:type="dxa"/>
            <w:gridSpan w:val="2"/>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指  标</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标 准</w:t>
            </w:r>
          </w:p>
        </w:tc>
        <w:tc>
          <w:tcPr>
            <w:tcW w:w="62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分值</w:t>
            </w:r>
          </w:p>
        </w:tc>
        <w:tc>
          <w:tcPr>
            <w:tcW w:w="1000" w:type="dxa"/>
            <w:tcBorders>
              <w:tl2br w:val="nil"/>
              <w:tr2bl w:val="nil"/>
            </w:tcBorders>
            <w:shd w:val="clear" w:color="auto" w:fill="auto"/>
            <w:noWrap/>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具体完成情况</w:t>
            </w:r>
          </w:p>
        </w:tc>
        <w:tc>
          <w:tcPr>
            <w:tcW w:w="990" w:type="dxa"/>
            <w:tcBorders>
              <w:tl2br w:val="nil"/>
              <w:tr2bl w:val="nil"/>
            </w:tcBorders>
            <w:shd w:val="clear" w:color="auto" w:fill="auto"/>
            <w:noWrap/>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市级自评得分</w:t>
            </w:r>
          </w:p>
        </w:tc>
        <w:tc>
          <w:tcPr>
            <w:tcW w:w="850" w:type="dxa"/>
            <w:tcBorders>
              <w:tl2br w:val="nil"/>
              <w:tr2bl w:val="nil"/>
            </w:tcBorders>
            <w:shd w:val="clear" w:color="auto" w:fill="auto"/>
            <w:noWrap/>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核验</w:t>
            </w:r>
            <w:r>
              <w:rPr>
                <w:rFonts w:hint="default" w:ascii="Times New Roman" w:hAnsi="Times New Roman" w:eastAsia="仿宋_GB2312" w:cs="Times New Roman"/>
                <w:b/>
                <w:bCs/>
                <w:color w:val="auto"/>
                <w:kern w:val="0"/>
                <w:sz w:val="24"/>
                <w:szCs w:val="24"/>
                <w:lang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30" w:hRule="atLeast"/>
        </w:trPr>
        <w:tc>
          <w:tcPr>
            <w:tcW w:w="1270" w:type="dxa"/>
            <w:vMerge w:val="restart"/>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二、联农带农能力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eastAsia="仿宋_GB2312" w:cs="Times New Roman"/>
                <w:i w:val="0"/>
                <w:iCs w:val="0"/>
                <w:color w:val="auto"/>
                <w:kern w:val="0"/>
                <w:sz w:val="24"/>
                <w:szCs w:val="24"/>
                <w:highlight w:val="none"/>
                <w:u w:val="none"/>
                <w:lang w:val="en-US" w:eastAsia="zh-CN" w:bidi="ar"/>
              </w:rPr>
              <w:t>24</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8.2022年依托示范区建设带动农民人均增收</w:t>
            </w:r>
          </w:p>
        </w:tc>
        <w:tc>
          <w:tcPr>
            <w:tcW w:w="375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500元—1000元（含500元），得2分；1000元—2000元（含1000元），得4分；2000元及以上，得6分。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9.2022年依托示范区建设带动村集体经济收入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3万—5万元（含3万元），得2分；5万—10万元（含5万元），得4分；10万元及以上，得6分。</w:t>
            </w:r>
          </w:p>
        </w:tc>
        <w:tc>
          <w:tcPr>
            <w:tcW w:w="62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90" w:hRule="atLeast"/>
        </w:trPr>
        <w:tc>
          <w:tcPr>
            <w:tcW w:w="1270" w:type="dxa"/>
            <w:vMerge w:val="restart"/>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三、科技支撑能力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4</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10.2022年数字化建设投入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eastAsia" w:eastAsia="仿宋_GB2312" w:cs="Times New Roman"/>
                <w:i w:val="0"/>
                <w:iCs w:val="0"/>
                <w:color w:val="auto"/>
                <w:kern w:val="0"/>
                <w:sz w:val="24"/>
                <w:szCs w:val="24"/>
                <w:highlight w:val="none"/>
                <w:u w:val="none"/>
                <w:lang w:val="en-US" w:eastAsia="zh-CN" w:bidi="ar"/>
              </w:rPr>
              <w:t>年内</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20万—50万元（含20万元），得2分；</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50万—100万元（含50万元），得3分；</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100万元及以上，得4分。</w:t>
            </w:r>
          </w:p>
        </w:tc>
        <w:tc>
          <w:tcPr>
            <w:tcW w:w="62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4</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11.数字化信息服务</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000000"/>
                <w:kern w:val="0"/>
                <w:sz w:val="24"/>
                <w:szCs w:val="24"/>
                <w:u w:val="none"/>
                <w:lang w:val="en-US" w:eastAsia="zh-CN" w:bidi="ar"/>
              </w:rPr>
              <w:t>建设数字化信息服务平台，得</w:t>
            </w:r>
            <w:r>
              <w:rPr>
                <w:rStyle w:val="16"/>
                <w:rFonts w:hint="eastAsia"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分；打造智慧农业，得</w:t>
            </w:r>
            <w:r>
              <w:rPr>
                <w:rStyle w:val="16"/>
                <w:rFonts w:hint="eastAsia"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分；推广运用物联网、大数据、云计算、区块链、移动互联等现代信息技术，得</w:t>
            </w:r>
            <w:r>
              <w:rPr>
                <w:rStyle w:val="16"/>
                <w:rFonts w:hint="eastAsia"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分；示范区内经营主体获认定为自治区级农业农村信息化示范基地，得</w:t>
            </w:r>
            <w:r>
              <w:rPr>
                <w:rStyle w:val="16"/>
                <w:rFonts w:hint="eastAsia" w:ascii="Times New Roman" w:hAnsi="Times New Roman" w:eastAsia="仿宋_GB2312" w:cs="Times New Roman"/>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分；示范区内经营主体获认定为国家农业农村信息化示范基地，得</w:t>
            </w:r>
            <w:r>
              <w:rPr>
                <w:rStyle w:val="16"/>
                <w:rFonts w:hint="eastAsia" w:ascii="Times New Roman" w:hAnsi="Times New Roman" w:eastAsia="仿宋_GB2312" w:cs="Times New Roman"/>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分。累计最高</w:t>
            </w:r>
            <w:r>
              <w:rPr>
                <w:rStyle w:val="16"/>
                <w:rFonts w:hint="eastAsia" w:ascii="Times New Roman" w:hAnsi="Times New Roman" w:eastAsia="仿宋_GB2312" w:cs="Times New Roman"/>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分。</w:t>
            </w:r>
          </w:p>
        </w:tc>
        <w:tc>
          <w:tcPr>
            <w:tcW w:w="62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4"/>
                <w:szCs w:val="24"/>
                <w:highlight w:val="none"/>
                <w:u w:val="none"/>
                <w:lang w:val="en-US" w:eastAsia="zh-CN" w:bidi="ar"/>
              </w:rPr>
              <w:t>4</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2</w:t>
            </w:r>
            <w:r>
              <w:rPr>
                <w:rFonts w:hint="default" w:ascii="Times New Roman" w:hAnsi="Times New Roman" w:eastAsia="仿宋_GB2312" w:cs="Times New Roman"/>
                <w:i w:val="0"/>
                <w:iCs w:val="0"/>
                <w:color w:val="auto"/>
                <w:kern w:val="0"/>
                <w:sz w:val="24"/>
                <w:szCs w:val="24"/>
                <w:highlight w:val="none"/>
                <w:u w:val="none"/>
                <w:lang w:val="en-US" w:eastAsia="zh-CN" w:bidi="ar"/>
              </w:rPr>
              <w:t>.技术研发</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有授权专利1项以上，得3分；研发新技术或新产品1个以上，得3分；培育、通过省级以上审定的植物新品种及畜禽水产新品种（配套系）1个以上，得3分；引进先进技术3项以上，得3分；引进现代化设施设备2台（套）以上，得3分；制定企业标准、行业标准等1个以上，得3分；建设有产业研究院、技术创新中心或重点实验室，得3分。累计最高6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80" w:hRule="atLeast"/>
        </w:trPr>
        <w:tc>
          <w:tcPr>
            <w:tcW w:w="2530" w:type="dxa"/>
            <w:gridSpan w:val="2"/>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指  标</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标 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分值</w:t>
            </w:r>
          </w:p>
        </w:tc>
        <w:tc>
          <w:tcPr>
            <w:tcW w:w="100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具体完成情况</w:t>
            </w:r>
          </w:p>
        </w:tc>
        <w:tc>
          <w:tcPr>
            <w:tcW w:w="99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市级自评得分</w:t>
            </w:r>
          </w:p>
        </w:tc>
        <w:tc>
          <w:tcPr>
            <w:tcW w:w="85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核验</w:t>
            </w:r>
            <w:r>
              <w:rPr>
                <w:rFonts w:hint="default" w:ascii="Times New Roman" w:hAnsi="Times New Roman" w:eastAsia="仿宋_GB2312" w:cs="Times New Roman"/>
                <w:b/>
                <w:bCs/>
                <w:color w:val="auto"/>
                <w:kern w:val="0"/>
                <w:sz w:val="24"/>
                <w:szCs w:val="24"/>
                <w:lang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00" w:hRule="atLeast"/>
        </w:trPr>
        <w:tc>
          <w:tcPr>
            <w:tcW w:w="1270" w:type="dxa"/>
            <w:vMerge w:val="restart"/>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四、全产业链能力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14</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3</w:t>
            </w:r>
            <w:r>
              <w:rPr>
                <w:rFonts w:hint="default" w:ascii="Times New Roman" w:hAnsi="Times New Roman" w:eastAsia="仿宋_GB2312" w:cs="Times New Roman"/>
                <w:i w:val="0"/>
                <w:iCs w:val="0"/>
                <w:color w:val="auto"/>
                <w:kern w:val="0"/>
                <w:sz w:val="24"/>
                <w:szCs w:val="24"/>
                <w:highlight w:val="none"/>
                <w:u w:val="none"/>
                <w:lang w:val="en-US" w:eastAsia="zh-CN" w:bidi="ar"/>
              </w:rPr>
              <w:t>.农产品加工</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pP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获得高新技术企业的得3分；农产品通过ISO系列、HACCP质量体系、GMP质量体系等其中一项认证得3分；列入县级农产品加工集聚区得1分，列入市级农产品加工集聚区得2分，列入自治区级农产品加工集聚区得3分。获得</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广西高标准高质量农产品示范基地</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的得3分。</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累计最高6分。</w:t>
            </w:r>
          </w:p>
        </w:tc>
        <w:tc>
          <w:tcPr>
            <w:tcW w:w="62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noWrap/>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9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4</w:t>
            </w:r>
            <w:r>
              <w:rPr>
                <w:rFonts w:hint="default" w:ascii="Times New Roman" w:hAnsi="Times New Roman" w:eastAsia="仿宋_GB2312" w:cs="Times New Roman"/>
                <w:i w:val="0"/>
                <w:iCs w:val="0"/>
                <w:color w:val="auto"/>
                <w:kern w:val="0"/>
                <w:sz w:val="24"/>
                <w:szCs w:val="24"/>
                <w:highlight w:val="none"/>
                <w:u w:val="none"/>
                <w:lang w:val="en-US" w:eastAsia="zh-CN" w:bidi="ar"/>
              </w:rPr>
              <w:t>.冷链物流仓储</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pP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示范区所在县（市、区）建成县级农产品冷链物流集配中心得2分；依托县级冷链物流集配中心，积极应用多温区配送车、蓄冷保温箱和保温柜等冷藏设备，推广“气调包装+冷藏”等冷链保鲜技术模式的得2分；建设农产品冷链技术装备标准化和冷冻冷藏食品溯源管理信息系统的得2分。</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累计最高</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4</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4</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0"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5</w:t>
            </w:r>
            <w:r>
              <w:rPr>
                <w:rFonts w:hint="default" w:ascii="Times New Roman" w:hAnsi="Times New Roman" w:eastAsia="仿宋_GB2312" w:cs="Times New Roman"/>
                <w:i w:val="0"/>
                <w:iCs w:val="0"/>
                <w:color w:val="auto"/>
                <w:kern w:val="0"/>
                <w:sz w:val="24"/>
                <w:szCs w:val="24"/>
                <w:highlight w:val="none"/>
                <w:u w:val="none"/>
                <w:lang w:val="en-US" w:eastAsia="zh-CN" w:bidi="ar"/>
              </w:rPr>
              <w:t>.拓展农业功能</w:t>
            </w:r>
          </w:p>
        </w:tc>
        <w:tc>
          <w:tcPr>
            <w:tcW w:w="3750" w:type="dxa"/>
            <w:tcBorders>
              <w:tl2br w:val="nil"/>
              <w:tr2bl w:val="nil"/>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leftChars="0" w:right="0" w:rightChars="0" w:firstLine="0" w:firstLineChars="0"/>
              <w:jc w:val="left"/>
              <w:outlineLvl w:val="0"/>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pP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获得全国绿色食品（有机农业）一二三产业融合发展园区的得4分，获认定为广西休闲农业与乡村旅游示范点的得2分，获认定为国家休闲农业与乡村旅游示范点的得4分。</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获得自治区级森林康养基地服务体系建设试点单位，得2分</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获得全国森林康养基地试点建设单位，得4分</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累计最高</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4</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4"/>
                <w:szCs w:val="24"/>
                <w:highlight w:val="none"/>
                <w:u w:val="none"/>
                <w:lang w:val="en-US" w:eastAsia="zh-CN" w:bidi="ar"/>
              </w:rPr>
              <w:t>4</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90" w:hRule="atLeast"/>
        </w:trPr>
        <w:tc>
          <w:tcPr>
            <w:tcW w:w="2530" w:type="dxa"/>
            <w:gridSpan w:val="2"/>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指  标</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标 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ascii="Times New Roman" w:hAnsi="Times New Roman" w:eastAsia="仿宋_GB2312" w:cs="Times New Roman"/>
                <w:b/>
                <w:bCs/>
                <w:i w:val="0"/>
                <w:iCs w:val="0"/>
                <w:color w:val="auto"/>
                <w:kern w:val="2"/>
                <w:sz w:val="24"/>
                <w:szCs w:val="24"/>
                <w:highlight w:val="none"/>
                <w:u w:val="none"/>
                <w:lang w:val="en-US" w:eastAsia="zh-CN" w:bidi="ar-SA"/>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分值</w:t>
            </w:r>
          </w:p>
        </w:tc>
        <w:tc>
          <w:tcPr>
            <w:tcW w:w="1000" w:type="dxa"/>
            <w:tcBorders>
              <w:tl2br w:val="nil"/>
              <w:tr2bl w:val="nil"/>
            </w:tcBorders>
            <w:shd w:val="clear" w:color="auto" w:fill="auto"/>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具体完成情况</w:t>
            </w:r>
          </w:p>
        </w:tc>
        <w:tc>
          <w:tcPr>
            <w:tcW w:w="990" w:type="dxa"/>
            <w:tcBorders>
              <w:tl2br w:val="nil"/>
              <w:tr2bl w:val="nil"/>
            </w:tcBorders>
            <w:shd w:val="clear" w:color="auto" w:fill="auto"/>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市级自评得分</w:t>
            </w:r>
          </w:p>
        </w:tc>
        <w:tc>
          <w:tcPr>
            <w:tcW w:w="850" w:type="dxa"/>
            <w:tcBorders>
              <w:tl2br w:val="nil"/>
              <w:tr2bl w:val="nil"/>
            </w:tcBorders>
            <w:shd w:val="clear" w:color="auto" w:fill="auto"/>
            <w:vAlign w:val="center"/>
          </w:tcPr>
          <w:p>
            <w:pPr>
              <w:widowControl/>
              <w:spacing w:line="300" w:lineRule="exact"/>
              <w:jc w:val="center"/>
              <w:textAlignment w:val="center"/>
              <w:rPr>
                <w:rFonts w:hint="eastAsia" w:ascii="Times New Roman" w:hAnsi="Times New Roman" w:eastAsia="仿宋_GB2312" w:cs="Times New Roman"/>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核验</w:t>
            </w:r>
            <w:r>
              <w:rPr>
                <w:rFonts w:hint="default" w:ascii="Times New Roman" w:hAnsi="Times New Roman" w:eastAsia="仿宋_GB2312" w:cs="Times New Roman"/>
                <w:b/>
                <w:bCs/>
                <w:color w:val="auto"/>
                <w:kern w:val="0"/>
                <w:sz w:val="24"/>
                <w:szCs w:val="24"/>
                <w:lang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90" w:hRule="atLeast"/>
        </w:trPr>
        <w:tc>
          <w:tcPr>
            <w:tcW w:w="1270" w:type="dxa"/>
            <w:vMerge w:val="restart"/>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五、品牌建设能力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8</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eastAsia="仿宋_GB2312" w:cs="Times New Roman"/>
                <w:i w:val="0"/>
                <w:iCs w:val="0"/>
                <w:color w:val="auto"/>
                <w:kern w:val="0"/>
                <w:sz w:val="24"/>
                <w:szCs w:val="24"/>
                <w:highlight w:val="none"/>
                <w:u w:val="none"/>
                <w:lang w:val="en-US" w:eastAsia="zh-CN" w:bidi="ar"/>
              </w:rPr>
              <w:t>6</w:t>
            </w:r>
            <w:r>
              <w:rPr>
                <w:rFonts w:hint="default" w:ascii="Times New Roman" w:hAnsi="Times New Roman" w:eastAsia="仿宋_GB2312" w:cs="Times New Roman"/>
                <w:i w:val="0"/>
                <w:iCs w:val="0"/>
                <w:color w:val="auto"/>
                <w:kern w:val="0"/>
                <w:sz w:val="24"/>
                <w:szCs w:val="24"/>
                <w:highlight w:val="none"/>
                <w:u w:val="none"/>
                <w:lang w:val="en-US" w:eastAsia="zh-CN" w:bidi="ar"/>
              </w:rPr>
              <w:t>.品牌建设</w:t>
            </w:r>
          </w:p>
        </w:tc>
        <w:tc>
          <w:tcPr>
            <w:tcW w:w="3750" w:type="dxa"/>
            <w:tcBorders>
              <w:tl2br w:val="nil"/>
              <w:tr2bl w:val="nil"/>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exact"/>
              <w:ind w:left="0" w:leftChars="0" w:right="0" w:rightChars="0" w:firstLine="0" w:firstLineChars="0"/>
              <w:jc w:val="left"/>
              <w:outlineLvl w:val="0"/>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pPr>
            <w:r>
              <w:rPr>
                <w:rFonts w:hint="eastAsia" w:ascii="Times New Roman" w:hAnsi="Times New Roman" w:eastAsia="仿宋_GB2312" w:cs="Times New Roman"/>
                <w:b w:val="0"/>
                <w:bCs w:val="0"/>
                <w:snapToGrid/>
                <w:color w:val="auto"/>
                <w:spacing w:val="0"/>
                <w:kern w:val="0"/>
                <w:sz w:val="24"/>
                <w:szCs w:val="24"/>
                <w:highlight w:val="none"/>
                <w:u w:val="none"/>
              </w:rPr>
              <w:t>有广西农业企业品牌或农业产品品牌</w:t>
            </w:r>
            <w:r>
              <w:rPr>
                <w:rFonts w:hint="eastAsia" w:ascii="Times New Roman" w:hAnsi="Times New Roman" w:eastAsia="仿宋_GB2312" w:cs="Times New Roman"/>
                <w:b w:val="0"/>
                <w:bCs w:val="0"/>
                <w:snapToGrid/>
                <w:color w:val="auto"/>
                <w:spacing w:val="0"/>
                <w:kern w:val="0"/>
                <w:sz w:val="24"/>
                <w:szCs w:val="24"/>
                <w:highlight w:val="none"/>
                <w:u w:val="none"/>
                <w:lang w:eastAsia="zh-CN"/>
              </w:rPr>
              <w:t>，</w:t>
            </w:r>
            <w:r>
              <w:rPr>
                <w:rFonts w:hint="eastAsia" w:ascii="Times New Roman" w:hAnsi="Times New Roman" w:eastAsia="仿宋_GB2312" w:cs="Times New Roman"/>
                <w:b w:val="0"/>
                <w:bCs w:val="0"/>
                <w:snapToGrid/>
                <w:color w:val="auto"/>
                <w:spacing w:val="0"/>
                <w:kern w:val="0"/>
                <w:sz w:val="24"/>
                <w:szCs w:val="24"/>
                <w:highlight w:val="none"/>
                <w:u w:val="none"/>
              </w:rPr>
              <w:t>得</w:t>
            </w:r>
            <w:r>
              <w:rPr>
                <w:rFonts w:hint="eastAsia" w:ascii="Times New Roman" w:hAnsi="Times New Roman" w:eastAsia="仿宋_GB2312" w:cs="Times New Roman"/>
                <w:b w:val="0"/>
                <w:bCs w:val="0"/>
                <w:snapToGrid/>
                <w:color w:val="auto"/>
                <w:spacing w:val="0"/>
                <w:kern w:val="0"/>
                <w:sz w:val="24"/>
                <w:szCs w:val="24"/>
                <w:highlight w:val="none"/>
                <w:u w:val="none"/>
                <w:lang w:val="en-US" w:eastAsia="zh-CN"/>
              </w:rPr>
              <w:t>1</w:t>
            </w:r>
            <w:r>
              <w:rPr>
                <w:rFonts w:hint="eastAsia" w:ascii="Times New Roman" w:hAnsi="Times New Roman" w:eastAsia="仿宋_GB2312" w:cs="Times New Roman"/>
                <w:b w:val="0"/>
                <w:bCs w:val="0"/>
                <w:snapToGrid/>
                <w:color w:val="auto"/>
                <w:spacing w:val="0"/>
                <w:kern w:val="0"/>
                <w:sz w:val="24"/>
                <w:szCs w:val="24"/>
                <w:highlight w:val="none"/>
                <w:u w:val="none"/>
              </w:rPr>
              <w:t>分</w:t>
            </w:r>
            <w:r>
              <w:rPr>
                <w:rFonts w:hint="eastAsia" w:ascii="Times New Roman" w:hAnsi="Times New Roman" w:eastAsia="仿宋_GB2312" w:cs="Times New Roman"/>
                <w:b w:val="0"/>
                <w:bCs w:val="0"/>
                <w:snapToGrid/>
                <w:color w:val="auto"/>
                <w:spacing w:val="0"/>
                <w:kern w:val="0"/>
                <w:sz w:val="24"/>
                <w:szCs w:val="24"/>
                <w:highlight w:val="none"/>
                <w:u w:val="none"/>
                <w:lang w:eastAsia="zh-CN"/>
              </w:rPr>
              <w:t>。</w:t>
            </w:r>
            <w:r>
              <w:rPr>
                <w:rFonts w:hint="eastAsia" w:ascii="Times New Roman" w:hAnsi="Times New Roman" w:eastAsia="仿宋_GB2312" w:cs="Times New Roman"/>
                <w:b w:val="0"/>
                <w:bCs w:val="0"/>
                <w:snapToGrid/>
                <w:color w:val="auto"/>
                <w:spacing w:val="0"/>
                <w:kern w:val="0"/>
                <w:sz w:val="24"/>
                <w:szCs w:val="24"/>
                <w:highlight w:val="none"/>
                <w:u w:val="none"/>
              </w:rPr>
              <w:t>主导产品获得绿色食品标志许可、有机农产品认证、绿色农产品认证、富硒农产品认证、出口农产品认证、供港农产</w:t>
            </w:r>
            <w:r>
              <w:rPr>
                <w:rFonts w:hint="default" w:ascii="Times New Roman" w:hAnsi="Times New Roman" w:eastAsia="仿宋_GB2312" w:cs="Times New Roman"/>
                <w:b w:val="0"/>
                <w:bCs w:val="0"/>
                <w:snapToGrid/>
                <w:color w:val="auto"/>
                <w:spacing w:val="0"/>
                <w:kern w:val="0"/>
                <w:sz w:val="24"/>
                <w:szCs w:val="24"/>
                <w:highlight w:val="none"/>
                <w:u w:val="none"/>
              </w:rPr>
              <w:t>品</w:t>
            </w:r>
            <w:r>
              <w:rPr>
                <w:rFonts w:hint="default" w:ascii="Times New Roman" w:hAnsi="Times New Roman" w:eastAsia="仿宋_GB2312" w:cs="Times New Roman"/>
                <w:b w:val="0"/>
                <w:bCs w:val="0"/>
                <w:snapToGrid/>
                <w:color w:val="auto"/>
                <w:spacing w:val="0"/>
                <w:kern w:val="0"/>
                <w:sz w:val="24"/>
                <w:szCs w:val="24"/>
                <w:highlight w:val="none"/>
                <w:u w:val="none"/>
                <w:lang w:eastAsia="zh-CN"/>
              </w:rPr>
              <w:t>、</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圳品</w:t>
            </w:r>
            <w:r>
              <w:rPr>
                <w:rFonts w:hint="default" w:ascii="Times New Roman" w:hAnsi="Times New Roman" w:eastAsia="仿宋_GB2312" w:cs="Times New Roman"/>
                <w:b w:val="0"/>
                <w:bCs w:val="0"/>
                <w:snapToGrid/>
                <w:color w:val="auto"/>
                <w:spacing w:val="0"/>
                <w:kern w:val="0"/>
                <w:sz w:val="24"/>
                <w:szCs w:val="24"/>
                <w:highlight w:val="none"/>
                <w:u w:val="none"/>
              </w:rPr>
              <w:t>认证</w:t>
            </w:r>
            <w:r>
              <w:rPr>
                <w:rFonts w:hint="default" w:ascii="Times New Roman" w:hAnsi="Times New Roman" w:eastAsia="仿宋_GB2312" w:cs="Times New Roman"/>
                <w:b w:val="0"/>
                <w:bCs w:val="0"/>
                <w:snapToGrid/>
                <w:color w:val="auto"/>
                <w:spacing w:val="0"/>
                <w:kern w:val="0"/>
                <w:sz w:val="24"/>
                <w:szCs w:val="24"/>
                <w:highlight w:val="none"/>
                <w:u w:val="none"/>
                <w:lang w:eastAsia="zh-CN"/>
              </w:rPr>
              <w:t>中</w:t>
            </w:r>
            <w:r>
              <w:rPr>
                <w:rFonts w:hint="default" w:ascii="Times New Roman" w:hAnsi="Times New Roman" w:eastAsia="仿宋_GB2312" w:cs="Times New Roman"/>
                <w:b w:val="0"/>
                <w:bCs w:val="0"/>
                <w:snapToGrid/>
                <w:color w:val="auto"/>
                <w:spacing w:val="0"/>
                <w:kern w:val="0"/>
                <w:sz w:val="24"/>
                <w:szCs w:val="24"/>
                <w:highlight w:val="none"/>
                <w:u w:val="none"/>
              </w:rPr>
              <w:t>任一项</w:t>
            </w:r>
            <w:r>
              <w:rPr>
                <w:rFonts w:hint="default" w:ascii="Times New Roman" w:hAnsi="Times New Roman" w:eastAsia="仿宋_GB2312" w:cs="Times New Roman"/>
                <w:b w:val="0"/>
                <w:bCs w:val="0"/>
                <w:snapToGrid/>
                <w:color w:val="auto"/>
                <w:spacing w:val="0"/>
                <w:kern w:val="0"/>
                <w:sz w:val="24"/>
                <w:szCs w:val="24"/>
                <w:highlight w:val="none"/>
                <w:u w:val="none"/>
                <w:lang w:eastAsia="zh-CN"/>
              </w:rPr>
              <w:t>，</w:t>
            </w:r>
            <w:r>
              <w:rPr>
                <w:rFonts w:hint="default" w:ascii="Times New Roman" w:hAnsi="Times New Roman" w:eastAsia="仿宋_GB2312" w:cs="Times New Roman"/>
                <w:b w:val="0"/>
                <w:bCs w:val="0"/>
                <w:snapToGrid/>
                <w:color w:val="auto"/>
                <w:spacing w:val="0"/>
                <w:kern w:val="0"/>
                <w:sz w:val="24"/>
                <w:szCs w:val="24"/>
                <w:highlight w:val="none"/>
                <w:u w:val="none"/>
              </w:rPr>
              <w:t>得</w:t>
            </w:r>
            <w:r>
              <w:rPr>
                <w:rFonts w:hint="default" w:ascii="Times New Roman" w:hAnsi="Times New Roman" w:eastAsia="仿宋_GB2312" w:cs="Times New Roman"/>
                <w:b w:val="0"/>
                <w:bCs w:val="0"/>
                <w:snapToGrid/>
                <w:color w:val="auto"/>
                <w:spacing w:val="0"/>
                <w:kern w:val="0"/>
                <w:sz w:val="24"/>
                <w:szCs w:val="24"/>
                <w:highlight w:val="none"/>
                <w:u w:val="none"/>
                <w:lang w:val="en-US" w:eastAsia="zh-CN"/>
              </w:rPr>
              <w:t>1</w:t>
            </w:r>
            <w:r>
              <w:rPr>
                <w:rFonts w:hint="default" w:ascii="Times New Roman" w:hAnsi="Times New Roman" w:eastAsia="仿宋_GB2312" w:cs="Times New Roman"/>
                <w:b w:val="0"/>
                <w:bCs w:val="0"/>
                <w:snapToGrid/>
                <w:color w:val="auto"/>
                <w:spacing w:val="0"/>
                <w:kern w:val="0"/>
                <w:sz w:val="24"/>
                <w:szCs w:val="24"/>
                <w:highlight w:val="none"/>
                <w:u w:val="none"/>
              </w:rPr>
              <w:t>分</w:t>
            </w:r>
            <w:r>
              <w:rPr>
                <w:rFonts w:hint="default" w:ascii="Times New Roman" w:hAnsi="Times New Roman" w:eastAsia="仿宋_GB2312" w:cs="Times New Roman"/>
                <w:b w:val="0"/>
                <w:bCs w:val="0"/>
                <w:snapToGrid/>
                <w:color w:val="auto"/>
                <w:spacing w:val="0"/>
                <w:kern w:val="0"/>
                <w:sz w:val="24"/>
                <w:szCs w:val="24"/>
                <w:highlight w:val="none"/>
                <w:u w:val="none"/>
                <w:lang w:eastAsia="zh-CN"/>
              </w:rPr>
              <w:t>。</w:t>
            </w:r>
            <w:r>
              <w:rPr>
                <w:rFonts w:hint="default" w:ascii="Times New Roman" w:hAnsi="Times New Roman" w:eastAsia="仿宋_GB2312" w:cs="Times New Roman"/>
                <w:b w:val="0"/>
                <w:bCs w:val="0"/>
                <w:snapToGrid/>
                <w:color w:val="auto"/>
                <w:spacing w:val="0"/>
                <w:kern w:val="0"/>
                <w:sz w:val="24"/>
                <w:szCs w:val="24"/>
                <w:highlight w:val="none"/>
                <w:u w:val="none"/>
              </w:rPr>
              <w:t>主导产品获批使用区域公用品牌或农产品地理标志登记</w:t>
            </w:r>
            <w:r>
              <w:rPr>
                <w:rFonts w:hint="default" w:ascii="Times New Roman" w:hAnsi="Times New Roman" w:eastAsia="仿宋_GB2312" w:cs="Times New Roman"/>
                <w:b w:val="0"/>
                <w:bCs w:val="0"/>
                <w:snapToGrid/>
                <w:color w:val="auto"/>
                <w:spacing w:val="0"/>
                <w:kern w:val="0"/>
                <w:sz w:val="24"/>
                <w:szCs w:val="24"/>
                <w:highlight w:val="none"/>
                <w:u w:val="none"/>
                <w:lang w:eastAsia="zh-CN"/>
              </w:rPr>
              <w:t>，得</w:t>
            </w:r>
            <w:r>
              <w:rPr>
                <w:rFonts w:hint="default" w:ascii="Times New Roman" w:hAnsi="Times New Roman" w:eastAsia="仿宋_GB2312" w:cs="Times New Roman"/>
                <w:b w:val="0"/>
                <w:bCs w:val="0"/>
                <w:snapToGrid/>
                <w:color w:val="auto"/>
                <w:spacing w:val="0"/>
                <w:kern w:val="0"/>
                <w:sz w:val="24"/>
                <w:szCs w:val="24"/>
                <w:highlight w:val="none"/>
                <w:u w:val="none"/>
                <w:lang w:val="en-US" w:eastAsia="zh-CN"/>
              </w:rPr>
              <w:t>2分。</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获得现代农业全产业链标准化示范基地、品牌农产品生产基地、供粤港澳示范基地得3分；列入广西品牌农产品数字化产地仓建设项目</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得3</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分。获得自治区森林旅游系列品牌评定，包括森林康养基地、森林体验基地、自然教育基地、森林人家、苗木观光基地等评定，得3分。</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累计最高</w:t>
            </w:r>
            <w:r>
              <w:rPr>
                <w:rFonts w:hint="eastAsia" w:ascii="Times New Roman" w:hAnsi="Times New Roman" w:eastAsia="仿宋_GB2312" w:cs="Times New Roman"/>
                <w:b w:val="0"/>
                <w:bCs w:val="0"/>
                <w:i w:val="0"/>
                <w:iCs w:val="0"/>
                <w:color w:val="auto"/>
                <w:kern w:val="0"/>
                <w:sz w:val="24"/>
                <w:szCs w:val="24"/>
                <w:highlight w:val="none"/>
                <w:u w:val="none"/>
                <w:lang w:val="en-US" w:eastAsia="zh-CN" w:bidi="ar"/>
              </w:rPr>
              <w:t>6</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eastAsia="仿宋_GB2312" w:cs="Times New Roman"/>
                <w:i w:val="0"/>
                <w:iCs w:val="0"/>
                <w:color w:val="auto"/>
                <w:kern w:val="0"/>
                <w:sz w:val="24"/>
                <w:szCs w:val="24"/>
                <w:highlight w:val="none"/>
                <w:u w:val="none"/>
                <w:lang w:val="en-US" w:eastAsia="zh-CN" w:bidi="ar"/>
              </w:rPr>
              <w:t>6</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eastAsia"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62"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ascii="Times New Roman" w:hAnsi="Times New Roman" w:eastAsia="仿宋_GB2312" w:cs="Times New Roman"/>
                <w:i w:val="0"/>
                <w:iCs w:val="0"/>
                <w:color w:val="auto"/>
                <w:kern w:val="0"/>
                <w:sz w:val="24"/>
                <w:szCs w:val="24"/>
                <w:highlight w:val="none"/>
                <w:u w:val="none"/>
                <w:lang w:val="en-US" w:eastAsia="zh-CN" w:bidi="ar"/>
              </w:rPr>
              <w:t>7</w:t>
            </w:r>
            <w:r>
              <w:rPr>
                <w:rFonts w:hint="default" w:ascii="Times New Roman" w:hAnsi="Times New Roman" w:eastAsia="仿宋_GB2312" w:cs="Times New Roman"/>
                <w:i w:val="0"/>
                <w:iCs w:val="0"/>
                <w:color w:val="auto"/>
                <w:kern w:val="0"/>
                <w:sz w:val="24"/>
                <w:szCs w:val="24"/>
                <w:highlight w:val="none"/>
                <w:u w:val="none"/>
                <w:lang w:val="en-US" w:eastAsia="zh-CN" w:bidi="ar"/>
              </w:rPr>
              <w:t>.农业产业园区</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在示范区主导产业建设基础上打造成为农业产业园区，获批准创建自治区现代农业产业园，得2分；获批准创建或认定为国家现代农业产业园，得3分；获确定为自治区田园综合体试点项目，得2分；获确定为国家田园综合体建设试点，得3分；获批准创建国家农业现代化示范区，得3分；获确认为广西特色农产品优势区创建项目，得2分；获认定为中国特色农产品优势区，得3分；获自治区级优势特色产业集群建设项目，得2分；获批准创建国家级优势特色产业集群，得3分；获认定为国家农村产业融合发展示范园，得3分；获自治区级农业产业强镇示范建设项目，得2分；获批准创建国家农业产业强镇，得3分；获认定为国家级水产健康养殖渔业示范区，得3分。累计最高3分。</w:t>
            </w:r>
          </w:p>
        </w:tc>
        <w:tc>
          <w:tcPr>
            <w:tcW w:w="6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2530" w:type="dxa"/>
            <w:gridSpan w:val="2"/>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指  标</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标 准</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b/>
                <w:bCs/>
                <w:i w:val="0"/>
                <w:iCs w:val="0"/>
                <w:color w:val="auto"/>
                <w:kern w:val="0"/>
                <w:sz w:val="24"/>
                <w:szCs w:val="24"/>
                <w:highlight w:val="none"/>
                <w:u w:val="none"/>
                <w:lang w:val="en-US" w:eastAsia="zh-CN" w:bidi="ar"/>
              </w:rPr>
              <w:t>分值</w:t>
            </w:r>
          </w:p>
        </w:tc>
        <w:tc>
          <w:tcPr>
            <w:tcW w:w="100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b/>
                <w:bCs/>
                <w:color w:val="auto"/>
                <w:kern w:val="0"/>
                <w:sz w:val="24"/>
                <w:szCs w:val="24"/>
              </w:rPr>
              <w:t>具体完成情况</w:t>
            </w:r>
          </w:p>
        </w:tc>
        <w:tc>
          <w:tcPr>
            <w:tcW w:w="99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b/>
                <w:bCs/>
                <w:color w:val="auto"/>
                <w:kern w:val="0"/>
                <w:sz w:val="24"/>
                <w:szCs w:val="24"/>
              </w:rPr>
              <w:t>市级自评得分</w:t>
            </w:r>
          </w:p>
        </w:tc>
        <w:tc>
          <w:tcPr>
            <w:tcW w:w="850" w:type="dxa"/>
            <w:tcBorders>
              <w:tl2br w:val="nil"/>
              <w:tr2bl w:val="nil"/>
            </w:tcBorders>
            <w:shd w:val="clear" w:color="auto" w:fill="auto"/>
            <w:vAlign w:val="center"/>
          </w:tcPr>
          <w:p>
            <w:pPr>
              <w:widowControl/>
              <w:spacing w:line="30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b/>
                <w:bCs/>
                <w:color w:val="auto"/>
                <w:kern w:val="0"/>
                <w:sz w:val="24"/>
                <w:szCs w:val="24"/>
                <w:lang w:eastAsia="zh-CN"/>
              </w:rPr>
              <w:t>核验</w:t>
            </w:r>
            <w:r>
              <w:rPr>
                <w:rFonts w:hint="default" w:ascii="Times New Roman" w:hAnsi="Times New Roman" w:eastAsia="仿宋_GB2312" w:cs="Times New Roman"/>
                <w:b/>
                <w:bCs/>
                <w:color w:val="auto"/>
                <w:kern w:val="0"/>
                <w:sz w:val="24"/>
                <w:szCs w:val="24"/>
                <w:lang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2" w:hRule="atLeast"/>
        </w:trPr>
        <w:tc>
          <w:tcPr>
            <w:tcW w:w="1270" w:type="dxa"/>
            <w:vMerge w:val="restart"/>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五、品牌建设能力</w:t>
            </w:r>
            <w:r>
              <w:rPr>
                <w:rFonts w:hint="default" w:ascii="Times New Roman" w:hAnsi="Times New Roman" w:eastAsia="仿宋_GB2312" w:cs="Times New Roman"/>
                <w:i w:val="0"/>
                <w:iCs w:val="0"/>
                <w:color w:val="auto"/>
                <w:kern w:val="0"/>
                <w:sz w:val="24"/>
                <w:szCs w:val="24"/>
                <w:highlight w:val="none"/>
                <w:u w:val="none"/>
                <w:lang w:val="en-US" w:eastAsia="zh-CN" w:bidi="ar"/>
              </w:rPr>
              <w:br w:type="textWrapping"/>
            </w: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ascii="Times New Roman" w:hAnsi="Times New Roman" w:eastAsia="仿宋_GB2312" w:cs="Times New Roman"/>
                <w:i w:val="0"/>
                <w:iCs w:val="0"/>
                <w:color w:val="auto"/>
                <w:kern w:val="0"/>
                <w:sz w:val="24"/>
                <w:szCs w:val="24"/>
                <w:highlight w:val="none"/>
                <w:u w:val="none"/>
                <w:lang w:val="en-US" w:eastAsia="zh-CN" w:bidi="ar"/>
              </w:rPr>
              <w:t>6</w:t>
            </w:r>
            <w:r>
              <w:rPr>
                <w:rFonts w:hint="default" w:ascii="Times New Roman" w:hAnsi="Times New Roman" w:eastAsia="仿宋_GB2312" w:cs="Times New Roman"/>
                <w:i w:val="0"/>
                <w:iCs w:val="0"/>
                <w:color w:val="auto"/>
                <w:kern w:val="0"/>
                <w:sz w:val="24"/>
                <w:szCs w:val="24"/>
                <w:highlight w:val="none"/>
                <w:u w:val="none"/>
                <w:lang w:val="en-US" w:eastAsia="zh-CN" w:bidi="ar"/>
              </w:rPr>
              <w:t>分）</w:t>
            </w: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r>
              <w:rPr>
                <w:rFonts w:hint="eastAsia" w:ascii="Times New Roman" w:hAnsi="Times New Roman" w:eastAsia="仿宋_GB2312" w:cs="Times New Roman"/>
                <w:i w:val="0"/>
                <w:iCs w:val="0"/>
                <w:color w:val="auto"/>
                <w:kern w:val="0"/>
                <w:sz w:val="24"/>
                <w:szCs w:val="24"/>
                <w:highlight w:val="none"/>
                <w:u w:val="none"/>
                <w:lang w:val="en-US" w:eastAsia="zh-CN" w:bidi="ar"/>
              </w:rPr>
              <w:t>8</w:t>
            </w:r>
            <w:r>
              <w:rPr>
                <w:rFonts w:hint="default" w:ascii="Times New Roman" w:hAnsi="Times New Roman" w:eastAsia="仿宋_GB2312" w:cs="Times New Roman"/>
                <w:i w:val="0"/>
                <w:iCs w:val="0"/>
                <w:color w:val="auto"/>
                <w:kern w:val="0"/>
                <w:sz w:val="24"/>
                <w:szCs w:val="24"/>
                <w:highlight w:val="none"/>
                <w:u w:val="none"/>
                <w:lang w:val="en-US" w:eastAsia="zh-CN" w:bidi="ar"/>
              </w:rPr>
              <w:t>.建设成果</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示范区的产品、技术等参加国家或自治区组织的各类评选的，得1分，在自治区组织的评选中获得名次的，得2分，在国家组织的评选中获得名次的，得3分。示范区建设成果获得自治区级及以上肯定、表彰、奖励、作为典型案例推广的，得3分。累计最高3分。</w:t>
            </w:r>
          </w:p>
        </w:tc>
        <w:tc>
          <w:tcPr>
            <w:tcW w:w="6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8"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eastAsia" w:ascii="Times New Roman" w:hAnsi="Times New Roman" w:eastAsia="仿宋_GB2312" w:cs="Times New Roman"/>
                <w:i w:val="0"/>
                <w:iCs w:val="0"/>
                <w:color w:val="auto"/>
                <w:kern w:val="0"/>
                <w:sz w:val="24"/>
                <w:szCs w:val="24"/>
                <w:highlight w:val="none"/>
                <w:u w:val="none"/>
                <w:lang w:val="en-US" w:eastAsia="zh-CN" w:bidi="ar"/>
              </w:rPr>
              <w:t>19</w:t>
            </w:r>
            <w:r>
              <w:rPr>
                <w:rFonts w:hint="default" w:ascii="Times New Roman" w:hAnsi="Times New Roman" w:eastAsia="仿宋_GB2312" w:cs="Times New Roman"/>
                <w:i w:val="0"/>
                <w:iCs w:val="0"/>
                <w:color w:val="auto"/>
                <w:kern w:val="0"/>
                <w:sz w:val="24"/>
                <w:szCs w:val="24"/>
                <w:highlight w:val="none"/>
                <w:u w:val="none"/>
                <w:lang w:val="en-US" w:eastAsia="zh-CN" w:bidi="ar"/>
              </w:rPr>
              <w:t>.宣传展示</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示范区建设成效在市级新闻媒体或期刊刊登宣传的，得1分，在自治区级新闻媒体或期刊刊登宣传的，得2分，在国家级新闻媒体或期刊刊登宣传的，得3分。示范区经营主体参加市级展会的，得1分；参加自治区级展会的，得2分；参加国家级展会的，得3分。示范区作为市级有关部门宣传视频素材的，得1分；作为自治区级有关部门宣传视频素材的，得2分；作为国家级有关部门宣传视频素材的，得3分。累计最高3分。</w:t>
            </w:r>
          </w:p>
        </w:tc>
        <w:tc>
          <w:tcPr>
            <w:tcW w:w="6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9" w:hRule="atLeast"/>
        </w:trPr>
        <w:tc>
          <w:tcPr>
            <w:tcW w:w="1270" w:type="dxa"/>
            <w:vMerge w:val="continue"/>
            <w:tcBorders>
              <w:tl2br w:val="nil"/>
              <w:tr2bl w:val="nil"/>
            </w:tcBorders>
            <w:shd w:val="clear" w:color="auto" w:fill="auto"/>
            <w:vAlign w:val="center"/>
          </w:tcPr>
          <w:p>
            <w:pPr>
              <w:spacing w:line="360" w:lineRule="exact"/>
              <w:jc w:val="center"/>
              <w:rPr>
                <w:rFonts w:hint="default" w:ascii="Times New Roman" w:hAnsi="Times New Roman" w:eastAsia="仿宋_GB2312" w:cs="Times New Roman"/>
                <w:i w:val="0"/>
                <w:iCs w:val="0"/>
                <w:color w:val="auto"/>
                <w:sz w:val="24"/>
                <w:szCs w:val="24"/>
                <w:highlight w:val="none"/>
                <w:u w:val="none"/>
              </w:rPr>
            </w:pPr>
          </w:p>
        </w:tc>
        <w:tc>
          <w:tcPr>
            <w:tcW w:w="126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2</w:t>
            </w:r>
            <w:r>
              <w:rPr>
                <w:rFonts w:hint="eastAsia" w:ascii="Times New Roman" w:hAnsi="Times New Roman" w:eastAsia="仿宋_GB2312" w:cs="Times New Roman"/>
                <w:i w:val="0"/>
                <w:iCs w:val="0"/>
                <w:color w:val="auto"/>
                <w:kern w:val="0"/>
                <w:sz w:val="24"/>
                <w:szCs w:val="24"/>
                <w:highlight w:val="none"/>
                <w:u w:val="none"/>
                <w:lang w:val="en-US" w:eastAsia="zh-CN" w:bidi="ar"/>
              </w:rPr>
              <w:t>0</w:t>
            </w:r>
            <w:r>
              <w:rPr>
                <w:rFonts w:hint="default" w:ascii="Times New Roman" w:hAnsi="Times New Roman" w:eastAsia="仿宋_GB2312" w:cs="Times New Roman"/>
                <w:i w:val="0"/>
                <w:iCs w:val="0"/>
                <w:color w:val="auto"/>
                <w:kern w:val="0"/>
                <w:sz w:val="24"/>
                <w:szCs w:val="24"/>
                <w:highlight w:val="none"/>
                <w:u w:val="none"/>
                <w:lang w:val="en-US" w:eastAsia="zh-CN" w:bidi="ar"/>
              </w:rPr>
              <w:t>.经验交流</w:t>
            </w:r>
          </w:p>
        </w:tc>
        <w:tc>
          <w:tcPr>
            <w:tcW w:w="3750" w:type="dxa"/>
            <w:tcBorders>
              <w:tl2br w:val="nil"/>
              <w:tr2bl w:val="nil"/>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示范区获五星级认定以来，在市级会议或活动上作典型经验交流或现场观摩点，得1分；在自治区级会议或活动上作典型经验交流或现场观摩点，得2分；在国家级会议或活动上作典型经验交流或现场观摩点，得3分。累计最高3分。</w:t>
            </w:r>
          </w:p>
        </w:tc>
        <w:tc>
          <w:tcPr>
            <w:tcW w:w="62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3</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0" w:hRule="atLeast"/>
        </w:trPr>
        <w:tc>
          <w:tcPr>
            <w:tcW w:w="6280" w:type="dxa"/>
            <w:gridSpan w:val="3"/>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合计</w:t>
            </w:r>
          </w:p>
        </w:tc>
        <w:tc>
          <w:tcPr>
            <w:tcW w:w="62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100</w:t>
            </w:r>
          </w:p>
        </w:tc>
        <w:tc>
          <w:tcPr>
            <w:tcW w:w="100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99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850" w:type="dxa"/>
            <w:tcBorders>
              <w:tl2br w:val="nil"/>
              <w:tr2bl w:val="nil"/>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28" w:hRule="atLeast"/>
        </w:trPr>
        <w:tc>
          <w:tcPr>
            <w:tcW w:w="9740" w:type="dxa"/>
            <w:gridSpan w:val="7"/>
            <w:tcBorders>
              <w:tl2br w:val="nil"/>
              <w:tr2bl w:val="nil"/>
            </w:tcBorders>
            <w:shd w:val="clear" w:color="auto" w:fill="auto"/>
            <w:vAlign w:val="center"/>
          </w:tcPr>
          <w:p>
            <w:pPr>
              <w:spacing w:line="340" w:lineRule="exact"/>
              <w:jc w:val="both"/>
              <w:rPr>
                <w:rFonts w:hint="default" w:ascii="Times New Roman" w:hAnsi="Times New Roman" w:cs="Times New Roman"/>
              </w:rPr>
            </w:pPr>
            <w:r>
              <w:rPr>
                <w:rFonts w:hint="default" w:ascii="Times New Roman" w:hAnsi="Times New Roman" w:eastAsia="仿宋_GB2312" w:cs="Times New Roman"/>
                <w:sz w:val="24"/>
                <w:szCs w:val="24"/>
              </w:rPr>
              <w:t>市级自评组成员签字：</w:t>
            </w:r>
          </w:p>
          <w:p>
            <w:pPr>
              <w:pStyle w:val="2"/>
              <w:rPr>
                <w:rFonts w:hint="default" w:ascii="Times New Roman" w:hAnsi="Times New Roman" w:cs="Times New Roman"/>
              </w:rPr>
            </w:pPr>
          </w:p>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bl>
    <w:p>
      <w:pPr>
        <w:pStyle w:val="2"/>
        <w:rPr>
          <w:rFonts w:hint="default" w:ascii="Times New Roman" w:hAnsi="Times New Roman" w:cs="Times New Roman"/>
          <w:lang w:eastAsia="zh-CN"/>
        </w:rPr>
      </w:pPr>
    </w:p>
    <w:p>
      <w:pPr>
        <w:pStyle w:val="2"/>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备注：</w:t>
      </w:r>
      <w:r>
        <w:rPr>
          <w:rFonts w:hint="eastAsia" w:ascii="Times New Roman" w:hAnsi="Times New Roman" w:eastAsia="仿宋_GB2312" w:cs="Times New Roman"/>
          <w:lang w:val="en-US" w:eastAsia="zh-CN"/>
        </w:rPr>
        <w:t>1.</w:t>
      </w:r>
      <w:r>
        <w:rPr>
          <w:rFonts w:hint="default" w:ascii="Times New Roman" w:hAnsi="Times New Roman" w:eastAsia="仿宋_GB2312" w:cs="Times New Roman"/>
          <w:lang w:eastAsia="zh-CN"/>
        </w:rPr>
        <w:t>70分以上通过核验。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720" w:firstLineChars="300"/>
        <w:textAlignment w:val="auto"/>
        <w:outlineLvl w:val="9"/>
        <w:rPr>
          <w:rFonts w:hint="default" w:ascii="Times New Roman" w:hAnsi="Times New Roman" w:eastAsia="仿宋_GB2312" w:cs="Times New Roman"/>
          <w:color w:val="auto"/>
          <w:kern w:val="21"/>
          <w:sz w:val="24"/>
          <w:szCs w:val="24"/>
        </w:rPr>
      </w:pPr>
      <w:r>
        <w:rPr>
          <w:rFonts w:hint="eastAsia" w:ascii="Times New Roman" w:hAnsi="Times New Roman" w:eastAsia="仿宋_GB2312" w:cs="Times New Roman"/>
          <w:color w:val="000000"/>
          <w:sz w:val="24"/>
          <w:szCs w:val="24"/>
          <w:lang w:val="en-US" w:eastAsia="zh-CN" w:bidi="ar-SA"/>
        </w:rPr>
        <w:t>2.一票否决：</w:t>
      </w:r>
      <w:r>
        <w:rPr>
          <w:rFonts w:hint="default" w:ascii="Times New Roman" w:hAnsi="Times New Roman" w:eastAsia="仿宋_GB2312" w:cs="Times New Roman"/>
          <w:color w:val="auto"/>
          <w:kern w:val="21"/>
          <w:sz w:val="24"/>
          <w:szCs w:val="24"/>
        </w:rPr>
        <w:t>设施农业用地</w:t>
      </w:r>
      <w:r>
        <w:rPr>
          <w:rFonts w:hint="eastAsia" w:ascii="Times New Roman" w:hAnsi="Times New Roman" w:eastAsia="仿宋_GB2312" w:cs="Times New Roman"/>
          <w:color w:val="auto"/>
          <w:kern w:val="21"/>
          <w:sz w:val="24"/>
          <w:szCs w:val="24"/>
          <w:lang w:eastAsia="zh-CN"/>
        </w:rPr>
        <w:t>、建设用地、用海等</w:t>
      </w:r>
      <w:r>
        <w:rPr>
          <w:rFonts w:hint="default" w:ascii="Times New Roman" w:hAnsi="Times New Roman" w:eastAsia="仿宋_GB2312" w:cs="Times New Roman"/>
          <w:color w:val="auto"/>
          <w:kern w:val="21"/>
          <w:sz w:val="24"/>
          <w:szCs w:val="24"/>
        </w:rPr>
        <w:t>不符合国家</w:t>
      </w:r>
      <w:r>
        <w:rPr>
          <w:rFonts w:hint="eastAsia" w:ascii="Times New Roman" w:hAnsi="Times New Roman" w:eastAsia="仿宋_GB2312" w:cs="Times New Roman"/>
          <w:color w:val="auto"/>
          <w:kern w:val="21"/>
          <w:sz w:val="24"/>
          <w:szCs w:val="24"/>
          <w:lang w:eastAsia="zh-CN"/>
        </w:rPr>
        <w:t>和</w:t>
      </w:r>
      <w:r>
        <w:rPr>
          <w:rFonts w:hint="default" w:ascii="Times New Roman" w:hAnsi="Times New Roman" w:eastAsia="仿宋_GB2312" w:cs="Times New Roman"/>
          <w:color w:val="auto"/>
          <w:kern w:val="21"/>
          <w:sz w:val="24"/>
          <w:szCs w:val="24"/>
        </w:rPr>
        <w:t>自治区有关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color w:val="auto"/>
          <w:kern w:val="21"/>
          <w:sz w:val="24"/>
          <w:szCs w:val="24"/>
        </w:rPr>
        <w:t>规定，违法违规占用永久基本农田，新增“大棚房”问题；</w:t>
      </w:r>
      <w:r>
        <w:rPr>
          <w:rFonts w:hint="default" w:ascii="Times New Roman" w:hAnsi="Times New Roman" w:eastAsia="仿宋_GB2312" w:cs="Times New Roman"/>
          <w:snapToGrid w:val="0"/>
          <w:color w:val="auto"/>
          <w:spacing w:val="0"/>
          <w:kern w:val="21"/>
          <w:sz w:val="24"/>
          <w:szCs w:val="24"/>
        </w:rPr>
        <w:t>禁限用农药残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留超标；发生重大农</w:t>
      </w:r>
      <w:r>
        <w:rPr>
          <w:rFonts w:hint="eastAsia" w:ascii="Times New Roman" w:hAnsi="Times New Roman" w:eastAsia="仿宋_GB2312" w:cs="Times New Roman"/>
          <w:snapToGrid w:val="0"/>
          <w:color w:val="auto"/>
          <w:spacing w:val="0"/>
          <w:kern w:val="21"/>
          <w:sz w:val="24"/>
          <w:szCs w:val="24"/>
          <w:lang w:eastAsia="zh-CN"/>
        </w:rPr>
        <w:t>（林）</w:t>
      </w:r>
      <w:r>
        <w:rPr>
          <w:rFonts w:hint="default" w:ascii="Times New Roman" w:hAnsi="Times New Roman" w:eastAsia="仿宋_GB2312" w:cs="Times New Roman"/>
          <w:snapToGrid w:val="0"/>
          <w:color w:val="auto"/>
          <w:spacing w:val="0"/>
          <w:kern w:val="21"/>
          <w:sz w:val="24"/>
          <w:szCs w:val="24"/>
        </w:rPr>
        <w:t>产品质量安全事故、重特大安全生产事故、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spacing w:val="0"/>
          <w:kern w:val="21"/>
          <w:sz w:val="24"/>
          <w:szCs w:val="24"/>
        </w:rPr>
        <w:t>严重环境污染事故</w:t>
      </w:r>
      <w:r>
        <w:rPr>
          <w:rFonts w:hint="default" w:ascii="Times New Roman" w:hAnsi="Times New Roman" w:eastAsia="仿宋_GB2312" w:cs="Times New Roman"/>
          <w:snapToGrid w:val="0"/>
          <w:color w:val="auto"/>
          <w:kern w:val="21"/>
          <w:sz w:val="24"/>
          <w:szCs w:val="24"/>
        </w:rPr>
        <w:t>；涉及自然保护地、重要湿地及红树林地的示范区项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cs="Times New Roman"/>
        </w:rPr>
        <w:sectPr>
          <w:footerReference r:id="rId3" w:type="default"/>
          <w:pgSz w:w="11906" w:h="16838"/>
          <w:pgMar w:top="850" w:right="1587" w:bottom="850" w:left="1587" w:header="851" w:footer="992" w:gutter="0"/>
          <w:pgNumType w:fmt="decimal"/>
          <w:cols w:space="0" w:num="1"/>
          <w:rtlGutter w:val="0"/>
          <w:docGrid w:type="lines" w:linePitch="312" w:charSpace="0"/>
        </w:sectPr>
      </w:pPr>
      <w:r>
        <w:rPr>
          <w:rFonts w:hint="default" w:ascii="Times New Roman" w:hAnsi="Times New Roman" w:eastAsia="仿宋_GB2312" w:cs="Times New Roman"/>
          <w:snapToGrid w:val="0"/>
          <w:color w:val="auto"/>
          <w:kern w:val="21"/>
          <w:sz w:val="24"/>
          <w:szCs w:val="24"/>
        </w:rPr>
        <w:t>目，不符合相关自然保护地管理要求和相应规划开展建设和经营。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textAlignment w:val="auto"/>
        <w:outlineLvl w:val="9"/>
        <w:rPr>
          <w:rFonts w:hint="default" w:ascii="Times New Roman" w:hAnsi="Times New Roman" w:eastAsia="仿宋_GB2312" w:cs="Times New Roman"/>
          <w:color w:val="000000"/>
          <w:sz w:val="24"/>
          <w:szCs w:val="24"/>
          <w:lang w:val="en-US" w:eastAsia="zh-CN" w:bidi="ar-SA"/>
        </w:rPr>
      </w:pPr>
    </w:p>
    <w:tbl>
      <w:tblPr>
        <w:tblStyle w:val="9"/>
        <w:tblW w:w="8610" w:type="dxa"/>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13150" w:hRule="atLeast"/>
          <w:jc w:val="center"/>
        </w:trPr>
        <w:tc>
          <w:tcPr>
            <w:tcW w:w="861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小标宋简体" w:cs="Times New Roman"/>
                <w:color w:val="auto"/>
                <w:spacing w:val="-12"/>
                <w:sz w:val="44"/>
                <w:szCs w:val="44"/>
                <w:lang w:eastAsia="zh-CN"/>
              </w:rPr>
            </w:pPr>
            <w:r>
              <w:rPr>
                <w:rFonts w:hint="default" w:ascii="Times New Roman" w:hAnsi="Times New Roman" w:eastAsia="方正小标宋简体" w:cs="Times New Roman"/>
                <w:color w:val="auto"/>
                <w:spacing w:val="-12"/>
                <w:sz w:val="44"/>
                <w:szCs w:val="44"/>
              </w:rPr>
              <w:t>示范区建设</w:t>
            </w:r>
            <w:r>
              <w:rPr>
                <w:rFonts w:hint="default" w:ascii="Times New Roman" w:hAnsi="Times New Roman" w:eastAsia="方正小标宋简体" w:cs="Times New Roman"/>
                <w:color w:val="auto"/>
                <w:spacing w:val="-12"/>
                <w:sz w:val="44"/>
                <w:szCs w:val="44"/>
                <w:lang w:eastAsia="zh-CN"/>
              </w:rPr>
              <w:t>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主要包括：</w:t>
            </w:r>
            <w:r>
              <w:rPr>
                <w:rFonts w:hint="eastAsia" w:ascii="Times New Roman" w:hAnsi="Times New Roman" w:eastAsia="仿宋_GB2312" w:cs="Times New Roman"/>
                <w:snapToGrid w:val="0"/>
                <w:sz w:val="32"/>
                <w:szCs w:val="32"/>
                <w:lang w:eastAsia="zh-CN"/>
              </w:rPr>
              <w:t>主导产业规模、</w:t>
            </w:r>
            <w:r>
              <w:rPr>
                <w:rFonts w:hint="default" w:ascii="Times New Roman" w:hAnsi="Times New Roman" w:eastAsia="仿宋_GB2312" w:cs="Times New Roman"/>
                <w:snapToGrid w:val="0"/>
                <w:sz w:val="32"/>
                <w:szCs w:val="32"/>
              </w:rPr>
              <w:t>持续投入加大、经营规模扩大、经济效益提高、联农带农增收、现代科技应用和信息化建设等情况。</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00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2500</w:t>
            </w:r>
            <w:r>
              <w:rPr>
                <w:rFonts w:hint="default" w:ascii="Times New Roman" w:hAnsi="Times New Roman" w:eastAsia="仿宋_GB2312" w:cs="Times New Roman"/>
                <w:color w:val="auto"/>
                <w:sz w:val="32"/>
                <w:szCs w:val="32"/>
                <w:lang w:eastAsia="zh-CN"/>
              </w:rPr>
              <w:t>字</w:t>
            </w:r>
            <w:r>
              <w:rPr>
                <w:rFonts w:hint="default" w:ascii="Times New Roman" w:hAnsi="Times New Roman" w:eastAsia="仿宋_GB2312" w:cs="Times New Roman"/>
                <w:color w:val="auto"/>
                <w:sz w:val="32"/>
                <w:szCs w:val="32"/>
              </w:rPr>
              <w:t>）</w:t>
            </w:r>
          </w:p>
          <w:p>
            <w:pPr>
              <w:rPr>
                <w:rFonts w:hint="default" w:ascii="Times New Roman" w:hAnsi="Times New Roman" w:eastAsia="仿宋_GB2312" w:cs="Times New Roman"/>
                <w:color w:val="auto"/>
                <w:spacing w:val="-12"/>
                <w:sz w:val="32"/>
                <w:szCs w:val="32"/>
              </w:rPr>
            </w:pPr>
            <w:bookmarkStart w:id="0" w:name="_GoBack"/>
            <w:bookmarkEnd w:id="0"/>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widowControl/>
              <w:adjustRightInd w:val="0"/>
              <w:snapToGrid w:val="0"/>
              <w:ind w:firstLine="5561" w:firstLineChars="1738"/>
              <w:rPr>
                <w:rFonts w:hint="default" w:ascii="Times New Roman" w:hAnsi="Times New Roman" w:eastAsia="仿宋_GB2312" w:cs="Times New Roman"/>
                <w:color w:val="auto"/>
                <w:kern w:val="0"/>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tc>
      </w:tr>
    </w:tbl>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w:t>
      </w:r>
    </w:p>
    <w:tbl>
      <w:tblPr>
        <w:tblStyle w:val="9"/>
        <w:tblW w:w="8781" w:type="dxa"/>
        <w:tblInd w:w="135" w:type="dxa"/>
        <w:tblLayout w:type="fixed"/>
        <w:tblCellMar>
          <w:top w:w="0" w:type="dxa"/>
          <w:left w:w="108" w:type="dxa"/>
          <w:bottom w:w="0" w:type="dxa"/>
          <w:right w:w="108" w:type="dxa"/>
        </w:tblCellMar>
      </w:tblPr>
      <w:tblGrid>
        <w:gridCol w:w="8781"/>
      </w:tblGrid>
      <w:tr>
        <w:tblPrEx>
          <w:tblCellMar>
            <w:top w:w="0" w:type="dxa"/>
            <w:left w:w="108" w:type="dxa"/>
            <w:bottom w:w="0" w:type="dxa"/>
            <w:right w:w="108" w:type="dxa"/>
          </w:tblCellMar>
        </w:tblPrEx>
        <w:trPr>
          <w:trHeight w:val="3664" w:hRule="atLeast"/>
        </w:trPr>
        <w:tc>
          <w:tcPr>
            <w:tcW w:w="8781" w:type="dxa"/>
            <w:tcBorders>
              <w:top w:val="single" w:color="000000" w:sz="4" w:space="0"/>
              <w:left w:val="single" w:color="000000" w:sz="4" w:space="0"/>
              <w:bottom w:val="single" w:color="000000" w:sz="4" w:space="0"/>
              <w:right w:val="single" w:color="000000" w:sz="4" w:space="0"/>
            </w:tcBorders>
          </w:tcPr>
          <w:p>
            <w:pPr>
              <w:pStyle w:val="11"/>
              <w:widowControl/>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市人民政府意见：</w:t>
            </w: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p>
          <w:p>
            <w:pPr>
              <w:pStyle w:val="11"/>
              <w:widowControl/>
              <w:jc w:val="center"/>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 xml:space="preserve">               （单位盖章）</w:t>
            </w:r>
          </w:p>
          <w:p>
            <w:pPr>
              <w:pStyle w:val="11"/>
              <w:widowControl/>
              <w:ind w:right="600" w:firstLine="4500"/>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年    月    日</w:t>
            </w:r>
          </w:p>
        </w:tc>
      </w:tr>
    </w:tbl>
    <w:p>
      <w:pPr>
        <w:rPr>
          <w:rFonts w:hint="default" w:ascii="Times New Roman" w:hAnsi="Times New Roman" w:cs="Times New Roman"/>
          <w:color w:val="auto"/>
        </w:rPr>
      </w:pPr>
      <w:r>
        <w:rPr>
          <w:rFonts w:hint="default" w:ascii="Times New Roman" w:hAnsi="Times New Roman" w:cs="Times New Roman"/>
          <w:color w:val="auto"/>
        </w:rPr>
        <w:t xml:space="preserve"> </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36"/>
                              <w:lang w:eastAsia="zh-CN"/>
                            </w:rPr>
                          </w:pPr>
                          <w:r>
                            <w:rPr>
                              <w:rFonts w:hint="eastAsia"/>
                              <w:sz w:val="28"/>
                              <w:szCs w:val="36"/>
                              <w:lang w:eastAsia="zh-CN"/>
                            </w:rPr>
                            <w:t xml:space="preserve">— </w:t>
                          </w: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8</w:t>
                          </w:r>
                          <w:r>
                            <w:rPr>
                              <w:rFonts w:hint="eastAsia"/>
                              <w:sz w:val="28"/>
                              <w:szCs w:val="36"/>
                              <w:lang w:eastAsia="zh-CN"/>
                            </w:rPr>
                            <w:fldChar w:fldCharType="end"/>
                          </w:r>
                          <w:r>
                            <w:rPr>
                              <w:rFonts w:hint="eastAsia"/>
                              <w:sz w:val="28"/>
                              <w:szCs w:val="36"/>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8"/>
                        <w:szCs w:val="36"/>
                        <w:lang w:eastAsia="zh-CN"/>
                      </w:rPr>
                    </w:pPr>
                    <w:r>
                      <w:rPr>
                        <w:rFonts w:hint="eastAsia"/>
                        <w:sz w:val="28"/>
                        <w:szCs w:val="36"/>
                        <w:lang w:eastAsia="zh-CN"/>
                      </w:rPr>
                      <w:t xml:space="preserve">— </w:t>
                    </w: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8</w:t>
                    </w:r>
                    <w:r>
                      <w:rPr>
                        <w:rFonts w:hint="eastAsia"/>
                        <w:sz w:val="28"/>
                        <w:szCs w:val="36"/>
                        <w:lang w:eastAsia="zh-CN"/>
                      </w:rPr>
                      <w:fldChar w:fldCharType="end"/>
                    </w:r>
                    <w:r>
                      <w:rPr>
                        <w:rFonts w:hint="eastAsia"/>
                        <w:sz w:val="28"/>
                        <w:szCs w:val="36"/>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ZmQ0ZDYzMDZmYzZkZjNmOWQzOTI4Y2U5NDgyYzAifQ=="/>
  </w:docVars>
  <w:rsids>
    <w:rsidRoot w:val="6C7B149F"/>
    <w:rsid w:val="0060093D"/>
    <w:rsid w:val="015B5B3B"/>
    <w:rsid w:val="02F47136"/>
    <w:rsid w:val="04B472CB"/>
    <w:rsid w:val="08C14D67"/>
    <w:rsid w:val="09A05125"/>
    <w:rsid w:val="0B7F4D76"/>
    <w:rsid w:val="0D002EE5"/>
    <w:rsid w:val="0DCC5234"/>
    <w:rsid w:val="10FB0A56"/>
    <w:rsid w:val="10FF61B9"/>
    <w:rsid w:val="11AF6FAB"/>
    <w:rsid w:val="12194661"/>
    <w:rsid w:val="13192FA1"/>
    <w:rsid w:val="14E44319"/>
    <w:rsid w:val="16093CB3"/>
    <w:rsid w:val="183F0C10"/>
    <w:rsid w:val="1A8B7DB2"/>
    <w:rsid w:val="1A991598"/>
    <w:rsid w:val="1B5D4995"/>
    <w:rsid w:val="1E4049E5"/>
    <w:rsid w:val="203500C0"/>
    <w:rsid w:val="218E4313"/>
    <w:rsid w:val="21952A89"/>
    <w:rsid w:val="221067FD"/>
    <w:rsid w:val="242321CA"/>
    <w:rsid w:val="26103D41"/>
    <w:rsid w:val="289256EB"/>
    <w:rsid w:val="297E3631"/>
    <w:rsid w:val="2990035C"/>
    <w:rsid w:val="2A59513A"/>
    <w:rsid w:val="2A8E523C"/>
    <w:rsid w:val="2EBE4CB1"/>
    <w:rsid w:val="2F1F577D"/>
    <w:rsid w:val="310B6551"/>
    <w:rsid w:val="31B542FD"/>
    <w:rsid w:val="35AF18C5"/>
    <w:rsid w:val="35B47651"/>
    <w:rsid w:val="36577319"/>
    <w:rsid w:val="38726D30"/>
    <w:rsid w:val="393710DA"/>
    <w:rsid w:val="3AA36107"/>
    <w:rsid w:val="3B9B6668"/>
    <w:rsid w:val="3C2B2718"/>
    <w:rsid w:val="3C8C4A23"/>
    <w:rsid w:val="3DA74E17"/>
    <w:rsid w:val="3F3252CB"/>
    <w:rsid w:val="3F3416D8"/>
    <w:rsid w:val="42C6739B"/>
    <w:rsid w:val="442C7FC6"/>
    <w:rsid w:val="458B302C"/>
    <w:rsid w:val="45F03320"/>
    <w:rsid w:val="47380E92"/>
    <w:rsid w:val="4751387B"/>
    <w:rsid w:val="47677CBF"/>
    <w:rsid w:val="485D3B46"/>
    <w:rsid w:val="49BD689C"/>
    <w:rsid w:val="4AA46C14"/>
    <w:rsid w:val="4AC41D92"/>
    <w:rsid w:val="4BCA4D4A"/>
    <w:rsid w:val="4D0B3070"/>
    <w:rsid w:val="513D15DC"/>
    <w:rsid w:val="5204554E"/>
    <w:rsid w:val="52223DB5"/>
    <w:rsid w:val="58640669"/>
    <w:rsid w:val="59D95B0E"/>
    <w:rsid w:val="5B32207A"/>
    <w:rsid w:val="5E2D0703"/>
    <w:rsid w:val="5F246212"/>
    <w:rsid w:val="5F2A7F99"/>
    <w:rsid w:val="60177FC9"/>
    <w:rsid w:val="631855E9"/>
    <w:rsid w:val="631E5AE5"/>
    <w:rsid w:val="65FB025C"/>
    <w:rsid w:val="664E3882"/>
    <w:rsid w:val="672B26D6"/>
    <w:rsid w:val="678A17BC"/>
    <w:rsid w:val="686A447B"/>
    <w:rsid w:val="68F16A7F"/>
    <w:rsid w:val="6C7B149F"/>
    <w:rsid w:val="6D002371"/>
    <w:rsid w:val="6D3E0245"/>
    <w:rsid w:val="6EAC6962"/>
    <w:rsid w:val="6F261A0E"/>
    <w:rsid w:val="70E2705E"/>
    <w:rsid w:val="724A2565"/>
    <w:rsid w:val="72C8595C"/>
    <w:rsid w:val="75876E15"/>
    <w:rsid w:val="75DA66D4"/>
    <w:rsid w:val="76201E18"/>
    <w:rsid w:val="769B1E68"/>
    <w:rsid w:val="77861512"/>
    <w:rsid w:val="77891803"/>
    <w:rsid w:val="7930319A"/>
    <w:rsid w:val="7A5F5873"/>
    <w:rsid w:val="7BD519B1"/>
    <w:rsid w:val="7BEA568C"/>
    <w:rsid w:val="7C947DDF"/>
    <w:rsid w:val="7CD05FBF"/>
    <w:rsid w:val="7D7F08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6"/>
    <w:basedOn w:val="1"/>
    <w:next w:val="1"/>
    <w:unhideWhenUsed/>
    <w:qFormat/>
    <w:uiPriority w:val="99"/>
    <w:pPr>
      <w:ind w:left="2100"/>
    </w:pPr>
  </w:style>
  <w:style w:type="paragraph" w:styleId="5">
    <w:name w:val="Body Text"/>
    <w:basedOn w:val="1"/>
    <w:next w:val="1"/>
    <w:qFormat/>
    <w:uiPriority w:val="99"/>
    <w:pPr>
      <w:ind w:left="102"/>
    </w:pPr>
    <w:rPr>
      <w:rFonts w:ascii="宋体" w:hAnsi="Times New Roman"/>
      <w:sz w:val="29"/>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customStyle="1" w:styleId="11">
    <w:name w:val="p0"/>
    <w:basedOn w:val="1"/>
    <w:qFormat/>
    <w:uiPriority w:val="0"/>
    <w:rPr>
      <w:kern w:val="0"/>
    </w:rPr>
  </w:style>
  <w:style w:type="character" w:customStyle="1" w:styleId="12">
    <w:name w:val="font21"/>
    <w:basedOn w:val="10"/>
    <w:qFormat/>
    <w:uiPriority w:val="0"/>
    <w:rPr>
      <w:rFonts w:hint="eastAsia" w:ascii="仿宋_GB2312" w:eastAsia="仿宋_GB2312" w:cs="仿宋_GB2312"/>
      <w:b/>
      <w:color w:val="000000"/>
      <w:sz w:val="24"/>
      <w:szCs w:val="24"/>
      <w:u w:val="none"/>
    </w:rPr>
  </w:style>
  <w:style w:type="character" w:customStyle="1" w:styleId="13">
    <w:name w:val="font51"/>
    <w:basedOn w:val="10"/>
    <w:qFormat/>
    <w:uiPriority w:val="0"/>
    <w:rPr>
      <w:rFonts w:hint="eastAsia" w:ascii="仿宋_GB2312" w:eastAsia="仿宋_GB2312" w:cs="仿宋_GB2312"/>
      <w:color w:val="000000"/>
      <w:sz w:val="24"/>
      <w:szCs w:val="24"/>
      <w:u w:val="none"/>
    </w:rPr>
  </w:style>
  <w:style w:type="character" w:customStyle="1" w:styleId="14">
    <w:name w:val="font01"/>
    <w:basedOn w:val="10"/>
    <w:qFormat/>
    <w:uiPriority w:val="0"/>
    <w:rPr>
      <w:rFonts w:hint="eastAsia" w:ascii="宋体" w:hAnsi="宋体" w:eastAsia="宋体" w:cs="宋体"/>
      <w:color w:val="FF0000"/>
      <w:sz w:val="22"/>
      <w:szCs w:val="22"/>
      <w:u w:val="none"/>
    </w:rPr>
  </w:style>
  <w:style w:type="character" w:customStyle="1" w:styleId="15">
    <w:name w:val="font11"/>
    <w:basedOn w:val="10"/>
    <w:qFormat/>
    <w:uiPriority w:val="0"/>
    <w:rPr>
      <w:rFonts w:hint="eastAsia" w:ascii="宋体" w:hAnsi="宋体" w:eastAsia="宋体" w:cs="宋体"/>
      <w:color w:val="000000"/>
      <w:sz w:val="22"/>
      <w:szCs w:val="22"/>
      <w:u w:val="none"/>
    </w:rPr>
  </w:style>
  <w:style w:type="character" w:customStyle="1" w:styleId="16">
    <w:name w:val="font3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2874</Words>
  <Characters>3072</Characters>
  <Lines>0</Lines>
  <Paragraphs>0</Paragraphs>
  <TotalTime>3</TotalTime>
  <ScaleCrop>false</ScaleCrop>
  <LinksUpToDate>false</LinksUpToDate>
  <CharactersWithSpaces>3220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2020-08-27T08:02:00Z</dcterms:created>
  <dc:creator>喵兮兮</dc:creator>
  <cp:lastModifiedBy>天意</cp:lastModifiedBy>
  <cp:lastPrinted>2022-05-30T07:22:00Z</cp:lastPrinted>
  <dcterms:modified xsi:type="dcterms:W3CDTF">2023-10-24T03:42:12Z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3C22B1674DB84A53A95D0ECD60DCD499</vt:lpwstr>
  </property>
</Properties>
</file>